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B7" w:rsidRPr="006C473B" w:rsidRDefault="00181811" w:rsidP="006C473B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Ziņa presei </w:t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6C473B" w:rsidRPr="006C473B">
        <w:rPr>
          <w:rFonts w:ascii="Calibri" w:hAnsi="Calibri" w:cs="Calibri"/>
        </w:rPr>
        <w:tab/>
      </w:r>
      <w:r w:rsidR="00423192" w:rsidRPr="00423192">
        <w:rPr>
          <w:rFonts w:ascii="Calibri" w:hAnsi="Calibri" w:cs="Calibri"/>
          <w:u w:val="single"/>
        </w:rPr>
        <w:t>08.11.2021.</w:t>
      </w:r>
    </w:p>
    <w:p w:rsidR="00181811" w:rsidRPr="00423192" w:rsidRDefault="00275D06" w:rsidP="00181811">
      <w:pPr>
        <w:pStyle w:val="mt-translation"/>
        <w:jc w:val="center"/>
        <w:rPr>
          <w:rStyle w:val="word"/>
          <w:rFonts w:asciiTheme="minorHAnsi" w:hAnsiTheme="minorHAnsi" w:cstheme="minorHAnsi"/>
          <w:b/>
        </w:rPr>
      </w:pPr>
      <w:r w:rsidRPr="00423192">
        <w:rPr>
          <w:rStyle w:val="word"/>
          <w:rFonts w:asciiTheme="minorHAnsi" w:hAnsiTheme="minorHAnsi" w:cstheme="minorHAnsi"/>
          <w:b/>
        </w:rPr>
        <w:t>Visa Eiropa – gājiena attālumā!</w:t>
      </w:r>
      <w:r w:rsidRPr="00423192">
        <w:rPr>
          <w:rStyle w:val="word"/>
          <w:rFonts w:asciiTheme="minorHAnsi" w:hAnsiTheme="minorHAnsi" w:cstheme="minorHAnsi"/>
          <w:b/>
        </w:rPr>
        <w:br/>
      </w:r>
      <w:r w:rsidR="00181811" w:rsidRPr="00423192">
        <w:rPr>
          <w:rStyle w:val="word"/>
          <w:rFonts w:asciiTheme="minorHAnsi" w:hAnsiTheme="minorHAnsi" w:cstheme="minorHAnsi"/>
          <w:b/>
        </w:rPr>
        <w:t xml:space="preserve">Mežtaka </w:t>
      </w:r>
      <w:r w:rsidR="009C7304" w:rsidRPr="00423192">
        <w:rPr>
          <w:rStyle w:val="word"/>
          <w:rFonts w:asciiTheme="minorHAnsi" w:hAnsiTheme="minorHAnsi" w:cstheme="minorHAnsi"/>
          <w:b/>
        </w:rPr>
        <w:t xml:space="preserve">un Jūrtaka </w:t>
      </w:r>
      <w:r w:rsidR="00181811" w:rsidRPr="00423192">
        <w:rPr>
          <w:rStyle w:val="word"/>
          <w:rFonts w:asciiTheme="minorHAnsi" w:hAnsiTheme="minorHAnsi" w:cstheme="minorHAnsi"/>
          <w:b/>
        </w:rPr>
        <w:t>savieno Baltijas valstis ar Eiropas garo distanču pārgājienu takām</w:t>
      </w:r>
    </w:p>
    <w:p w:rsidR="00181811" w:rsidRDefault="00181811" w:rsidP="00181811">
      <w:pPr>
        <w:pStyle w:val="mt-translation"/>
        <w:jc w:val="both"/>
        <w:rPr>
          <w:rStyle w:val="word"/>
          <w:rFonts w:asciiTheme="minorHAnsi" w:hAnsiTheme="minorHAnsi" w:cstheme="minorHAnsi"/>
          <w:i/>
          <w:sz w:val="22"/>
          <w:szCs w:val="22"/>
        </w:rPr>
      </w:pP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 xml:space="preserve">Līdz ar vasaras beigām ir noslēdzies darbs pie Jūrtakas un Mežtakas garo distanču </w:t>
      </w:r>
      <w:r>
        <w:rPr>
          <w:rStyle w:val="word"/>
          <w:rFonts w:asciiTheme="minorHAnsi" w:hAnsiTheme="minorHAnsi" w:cstheme="minorHAnsi"/>
          <w:i/>
          <w:sz w:val="22"/>
          <w:szCs w:val="22"/>
        </w:rPr>
        <w:t xml:space="preserve">pārgājienu </w:t>
      </w: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 xml:space="preserve">maršrutu izveides Latvijā, Lietuvā un Igaunijā. Takas ir pārbaudītas un </w:t>
      </w:r>
      <w:r w:rsidR="008022AD">
        <w:rPr>
          <w:rStyle w:val="word"/>
          <w:rFonts w:asciiTheme="minorHAnsi" w:hAnsiTheme="minorHAnsi" w:cstheme="minorHAnsi"/>
          <w:i/>
          <w:sz w:val="22"/>
          <w:szCs w:val="22"/>
        </w:rPr>
        <w:t xml:space="preserve">gandrīz visos posmos </w:t>
      </w: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 xml:space="preserve">marķētas, </w:t>
      </w:r>
      <w:r w:rsidR="00A80F8B">
        <w:rPr>
          <w:rStyle w:val="word"/>
          <w:rFonts w:asciiTheme="minorHAnsi" w:hAnsiTheme="minorHAnsi" w:cstheme="minorHAnsi"/>
          <w:i/>
          <w:sz w:val="22"/>
          <w:szCs w:val="22"/>
        </w:rPr>
        <w:t xml:space="preserve">tajās </w:t>
      </w: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>uzlabota infras</w:t>
      </w:r>
      <w:r w:rsidR="00A80F8B">
        <w:rPr>
          <w:rStyle w:val="word"/>
          <w:rFonts w:asciiTheme="minorHAnsi" w:hAnsiTheme="minorHAnsi" w:cstheme="minorHAnsi"/>
          <w:i/>
          <w:sz w:val="22"/>
          <w:szCs w:val="22"/>
        </w:rPr>
        <w:t>truktūra, mājas lapa</w:t>
      </w:r>
      <w:r w:rsidR="009C3BF1">
        <w:rPr>
          <w:rStyle w:val="word"/>
          <w:rFonts w:asciiTheme="minorHAnsi" w:hAnsiTheme="minorHAnsi" w:cstheme="minorHAnsi"/>
          <w:i/>
          <w:sz w:val="22"/>
          <w:szCs w:val="22"/>
        </w:rPr>
        <w:t xml:space="preserve"> papildināta ar jauniem aprakst</w:t>
      </w:r>
      <w:r w:rsidR="00A80F8B">
        <w:rPr>
          <w:rStyle w:val="word"/>
          <w:rFonts w:asciiTheme="minorHAnsi" w:hAnsiTheme="minorHAnsi" w:cstheme="minorHAnsi"/>
          <w:i/>
          <w:sz w:val="22"/>
          <w:szCs w:val="22"/>
        </w:rPr>
        <w:t>i</w:t>
      </w:r>
      <w:r w:rsidR="009C3BF1">
        <w:rPr>
          <w:rStyle w:val="word"/>
          <w:rFonts w:asciiTheme="minorHAnsi" w:hAnsiTheme="minorHAnsi" w:cstheme="minorHAnsi"/>
          <w:i/>
          <w:sz w:val="22"/>
          <w:szCs w:val="22"/>
        </w:rPr>
        <w:t>e</w:t>
      </w:r>
      <w:r w:rsidR="00A80F8B">
        <w:rPr>
          <w:rStyle w:val="word"/>
          <w:rFonts w:asciiTheme="minorHAnsi" w:hAnsiTheme="minorHAnsi" w:cstheme="minorHAnsi"/>
          <w:i/>
          <w:sz w:val="22"/>
          <w:szCs w:val="22"/>
        </w:rPr>
        <w:t>m, kartēm</w:t>
      </w:r>
      <w:r w:rsidR="002D5435">
        <w:rPr>
          <w:rStyle w:val="word"/>
          <w:rFonts w:asciiTheme="minorHAnsi" w:hAnsiTheme="minorHAnsi" w:cstheme="minorHAnsi"/>
          <w:i/>
          <w:sz w:val="22"/>
          <w:szCs w:val="22"/>
        </w:rPr>
        <w:t>. Pēdējie posmi</w:t>
      </w: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 xml:space="preserve"> – Mežtakas</w:t>
      </w:r>
      <w:r w:rsidR="009679EC">
        <w:rPr>
          <w:rStyle w:val="word"/>
          <w:rFonts w:asciiTheme="minorHAnsi" w:hAnsiTheme="minorHAnsi" w:cstheme="minorHAnsi"/>
          <w:i/>
          <w:sz w:val="22"/>
          <w:szCs w:val="22"/>
        </w:rPr>
        <w:t xml:space="preserve"> un Jūrtakas</w:t>
      </w: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 xml:space="preserve"> dienviddaļa – savu oficiālo atklāšanu gaida nakamā gada maijā. Taku veidotāji un pārgājienu entuziastu kopiena atskatās uz paveikto un ies</w:t>
      </w:r>
      <w:r w:rsidR="005E41E0">
        <w:rPr>
          <w:rStyle w:val="word"/>
          <w:rFonts w:asciiTheme="minorHAnsi" w:hAnsiTheme="minorHAnsi" w:cstheme="minorHAnsi"/>
          <w:i/>
          <w:sz w:val="22"/>
          <w:szCs w:val="22"/>
        </w:rPr>
        <w:t>kicē nākotnes plānus tiešsaistes konferencē</w:t>
      </w:r>
      <w:r w:rsidRPr="00B67C09">
        <w:rPr>
          <w:rStyle w:val="word"/>
          <w:rFonts w:asciiTheme="minorHAnsi" w:hAnsiTheme="minorHAnsi" w:cstheme="minorHAnsi"/>
          <w:i/>
          <w:sz w:val="22"/>
          <w:szCs w:val="22"/>
        </w:rPr>
        <w:t xml:space="preserve"> šī gada 9. novembrī.</w:t>
      </w:r>
    </w:p>
    <w:p w:rsidR="00885647" w:rsidRPr="00885647" w:rsidRDefault="00885647" w:rsidP="00885647">
      <w:pPr>
        <w:spacing w:after="0" w:line="240" w:lineRule="auto"/>
        <w:jc w:val="both"/>
        <w:rPr>
          <w:rStyle w:val="word"/>
          <w:rFonts w:cstheme="minorHAnsi"/>
          <w:b/>
        </w:rPr>
      </w:pPr>
      <w:r w:rsidRPr="00885647">
        <w:rPr>
          <w:rStyle w:val="word"/>
          <w:rFonts w:cstheme="minorHAnsi"/>
          <w:b/>
        </w:rPr>
        <w:t>Mežtaka un Jūrtaka Eiropas garo pārgājienu taku tīklā</w:t>
      </w:r>
    </w:p>
    <w:p w:rsidR="00686876" w:rsidRDefault="00181811" w:rsidP="00885647">
      <w:pPr>
        <w:spacing w:after="0"/>
        <w:jc w:val="both"/>
        <w:rPr>
          <w:rFonts w:ascii="Calibri" w:hAnsi="Calibri" w:cs="Calibri"/>
          <w:bCs/>
        </w:rPr>
      </w:pPr>
      <w:r>
        <w:rPr>
          <w:rStyle w:val="word"/>
          <w:rFonts w:cstheme="minorHAnsi"/>
        </w:rPr>
        <w:t xml:space="preserve">Mežtaka </w:t>
      </w:r>
      <w:r w:rsidR="009C7304">
        <w:rPr>
          <w:rStyle w:val="word"/>
          <w:rFonts w:cstheme="minorHAnsi"/>
        </w:rPr>
        <w:t xml:space="preserve">un Jūrtaka </w:t>
      </w:r>
      <w:r>
        <w:rPr>
          <w:rStyle w:val="word"/>
          <w:rFonts w:cstheme="minorHAnsi"/>
        </w:rPr>
        <w:t>ir divi garo distanču pārgājienu m</w:t>
      </w:r>
      <w:r w:rsidR="009C7304">
        <w:rPr>
          <w:rStyle w:val="word"/>
          <w:rFonts w:cstheme="minorHAnsi"/>
        </w:rPr>
        <w:t>aršruti</w:t>
      </w:r>
      <w:r w:rsidR="00A80F8B">
        <w:rPr>
          <w:rStyle w:val="word"/>
          <w:rFonts w:cstheme="minorHAnsi"/>
        </w:rPr>
        <w:t xml:space="preserve"> Baltijas valstīs</w:t>
      </w:r>
      <w:r w:rsidR="009C7304">
        <w:rPr>
          <w:rStyle w:val="word"/>
          <w:rFonts w:cstheme="minorHAnsi"/>
        </w:rPr>
        <w:t>, kuri</w:t>
      </w:r>
      <w:r>
        <w:rPr>
          <w:rStyle w:val="word"/>
          <w:rFonts w:cstheme="minorHAnsi"/>
        </w:rPr>
        <w:t xml:space="preserve"> pagarina </w:t>
      </w:r>
      <w:r w:rsidRPr="00F7128F">
        <w:rPr>
          <w:rStyle w:val="word"/>
          <w:rFonts w:cstheme="minorHAnsi"/>
        </w:rPr>
        <w:t>Eiropas</w:t>
      </w:r>
      <w:r w:rsidRPr="00F7128F">
        <w:rPr>
          <w:rStyle w:val="phrase"/>
          <w:rFonts w:cstheme="minorHAnsi"/>
        </w:rPr>
        <w:t xml:space="preserve"> </w:t>
      </w:r>
      <w:r w:rsidRPr="00F7128F">
        <w:rPr>
          <w:rStyle w:val="word"/>
          <w:rFonts w:cstheme="minorHAnsi"/>
        </w:rPr>
        <w:t>garo</w:t>
      </w:r>
      <w:r w:rsidRPr="00F7128F">
        <w:rPr>
          <w:rStyle w:val="phrase"/>
          <w:rFonts w:cstheme="minorHAnsi"/>
        </w:rPr>
        <w:t xml:space="preserve"> </w:t>
      </w:r>
      <w:r w:rsidRPr="00F7128F">
        <w:rPr>
          <w:rStyle w:val="word"/>
          <w:rFonts w:cstheme="minorHAnsi"/>
        </w:rPr>
        <w:t>distanču</w:t>
      </w:r>
      <w:r w:rsidRPr="00F7128F">
        <w:rPr>
          <w:rStyle w:val="phrase"/>
          <w:rFonts w:cstheme="minorHAnsi"/>
        </w:rPr>
        <w:t xml:space="preserve"> </w:t>
      </w:r>
      <w:r w:rsidRPr="00F7128F">
        <w:rPr>
          <w:rStyle w:val="word"/>
          <w:rFonts w:cstheme="minorHAnsi"/>
        </w:rPr>
        <w:t>pārgājienu</w:t>
      </w:r>
      <w:r w:rsidRPr="00F7128F">
        <w:rPr>
          <w:rStyle w:val="phrase"/>
          <w:rFonts w:cstheme="minorHAnsi"/>
        </w:rPr>
        <w:t xml:space="preserve"> </w:t>
      </w:r>
      <w:r>
        <w:rPr>
          <w:rStyle w:val="word"/>
          <w:rFonts w:cstheme="minorHAnsi"/>
        </w:rPr>
        <w:t xml:space="preserve">maršrutus </w:t>
      </w:r>
      <w:r w:rsidRPr="00F7128F">
        <w:rPr>
          <w:rStyle w:val="word"/>
          <w:rFonts w:cstheme="minorHAnsi"/>
        </w:rPr>
        <w:t>E9</w:t>
      </w:r>
      <w:r w:rsidRPr="00F7128F">
        <w:rPr>
          <w:rStyle w:val="phrase"/>
          <w:rFonts w:cstheme="minorHAnsi"/>
        </w:rPr>
        <w:t xml:space="preserve"> </w:t>
      </w:r>
      <w:r w:rsidRPr="00F7128F">
        <w:rPr>
          <w:rStyle w:val="word"/>
          <w:rFonts w:cstheme="minorHAnsi"/>
        </w:rPr>
        <w:t>un</w:t>
      </w:r>
      <w:r w:rsidRPr="00F7128F">
        <w:rPr>
          <w:rStyle w:val="phrase"/>
          <w:rFonts w:cstheme="minorHAnsi"/>
        </w:rPr>
        <w:t xml:space="preserve"> </w:t>
      </w:r>
      <w:r w:rsidRPr="00F7128F">
        <w:rPr>
          <w:rStyle w:val="word"/>
          <w:rFonts w:cstheme="minorHAnsi"/>
        </w:rPr>
        <w:t>E11</w:t>
      </w:r>
      <w:r>
        <w:rPr>
          <w:rStyle w:val="word"/>
          <w:rFonts w:cstheme="minorHAnsi"/>
        </w:rPr>
        <w:t xml:space="preserve">, vedot cauri Igaunijai, Latvija un Lietuvai.  </w:t>
      </w:r>
      <w:r w:rsidR="00686876">
        <w:rPr>
          <w:rFonts w:ascii="Calibri" w:hAnsi="Calibri" w:cs="Calibri"/>
          <w:bCs/>
        </w:rPr>
        <w:t>Mežtaka un Jūrtaka tika izveidota vairākos ES atbalstītos projektos, iesaistoties nevalstiskajām organizācijām, pašvaldībām u</w:t>
      </w:r>
      <w:r w:rsidR="00425748">
        <w:rPr>
          <w:rFonts w:ascii="Calibri" w:hAnsi="Calibri" w:cs="Calibri"/>
          <w:bCs/>
        </w:rPr>
        <w:t>n citām interešu grupām. Šoruden</w:t>
      </w:r>
      <w:r w:rsidR="00686876">
        <w:rPr>
          <w:rFonts w:ascii="Calibri" w:hAnsi="Calibri" w:cs="Calibri"/>
          <w:bCs/>
        </w:rPr>
        <w:t xml:space="preserve"> pabeigta takas marķēšana </w:t>
      </w:r>
      <w:r w:rsidR="008022AD">
        <w:rPr>
          <w:rFonts w:ascii="Calibri" w:hAnsi="Calibri" w:cs="Calibri"/>
          <w:bCs/>
        </w:rPr>
        <w:t>Kurzemē</w:t>
      </w:r>
      <w:r w:rsidR="00686876">
        <w:rPr>
          <w:rFonts w:ascii="Calibri" w:hAnsi="Calibri" w:cs="Calibri"/>
          <w:bCs/>
        </w:rPr>
        <w:t xml:space="preserve"> – Mežtakas dienviddaļā</w:t>
      </w:r>
      <w:r w:rsidR="008022AD">
        <w:rPr>
          <w:rFonts w:ascii="Calibri" w:hAnsi="Calibri" w:cs="Calibri"/>
          <w:bCs/>
        </w:rPr>
        <w:t xml:space="preserve">. Līdz nākamā gada maijam, kad paredzēta Mežtakas dienviddaļas oficiālā atklāšana, vēl tiks marķēti atsevišķi Mežtakas un Jūrtakas posmi Lietuvā.  </w:t>
      </w:r>
    </w:p>
    <w:p w:rsidR="008022AD" w:rsidRPr="0055537B" w:rsidRDefault="008022AD" w:rsidP="00885647">
      <w:pPr>
        <w:spacing w:after="0"/>
        <w:jc w:val="both"/>
        <w:rPr>
          <w:rFonts w:ascii="Cambria" w:hAnsi="Cambria" w:cs="Times New Roman"/>
          <w:b/>
          <w:color w:val="000000" w:themeColor="text1"/>
          <w:shd w:val="clear" w:color="auto" w:fill="FFFFFF"/>
        </w:rPr>
      </w:pPr>
    </w:p>
    <w:p w:rsidR="005E41E0" w:rsidRDefault="006C473B" w:rsidP="005E41E0">
      <w:pPr>
        <w:spacing w:after="0" w:line="240" w:lineRule="auto"/>
        <w:jc w:val="both"/>
        <w:rPr>
          <w:rFonts w:cstheme="minorHAnsi"/>
        </w:rPr>
      </w:pPr>
      <w:r w:rsidRPr="005E41E0">
        <w:rPr>
          <w:rFonts w:ascii="Cambria" w:hAnsi="Cambria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43180</wp:posOffset>
            </wp:positionV>
            <wp:extent cx="1765300" cy="1743075"/>
            <wp:effectExtent l="19050" t="19050" r="25400" b="28575"/>
            <wp:wrapSquare wrapText="bothSides"/>
            <wp:docPr id="8" name="Picture 7" descr="E9_bi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_bil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43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hyperlink r:id="rId9" w:history="1">
        <w:r w:rsidR="005E41E0" w:rsidRPr="005E41E0">
          <w:rPr>
            <w:rStyle w:val="Hyperlink"/>
            <w:rFonts w:cstheme="minorHAnsi"/>
            <w:b/>
          </w:rPr>
          <w:t>Jūrtaka</w:t>
        </w:r>
      </w:hyperlink>
      <w:r w:rsidR="00181811" w:rsidRPr="005E41E0">
        <w:rPr>
          <w:rFonts w:cstheme="minorHAnsi"/>
        </w:rPr>
        <w:t xml:space="preserve"> ved g</w:t>
      </w:r>
      <w:r w:rsidR="005E41E0" w:rsidRPr="005E41E0">
        <w:rPr>
          <w:rFonts w:cstheme="minorHAnsi"/>
        </w:rPr>
        <w:t>ar Baltijas jūras piekrasti. Tā</w:t>
      </w:r>
      <w:r w:rsidR="00181811" w:rsidRPr="005E41E0">
        <w:rPr>
          <w:rFonts w:cstheme="minorHAnsi"/>
        </w:rPr>
        <w:t xml:space="preserve"> sākas </w:t>
      </w:r>
      <w:r w:rsidR="005E41E0">
        <w:rPr>
          <w:rFonts w:cstheme="minorHAnsi"/>
        </w:rPr>
        <w:t xml:space="preserve">Nidas ciemā </w:t>
      </w:r>
      <w:r w:rsidR="00181811" w:rsidRPr="005E41E0">
        <w:rPr>
          <w:rFonts w:cstheme="minorHAnsi"/>
        </w:rPr>
        <w:t xml:space="preserve">pie Krievijas-Lietuvas robežas, ved cauri Lietuvai un </w:t>
      </w:r>
      <w:r w:rsidR="005E41E0" w:rsidRPr="005E41E0">
        <w:rPr>
          <w:rFonts w:cstheme="minorHAnsi"/>
        </w:rPr>
        <w:t xml:space="preserve">Latvijai, un beidzas Tallinā, </w:t>
      </w:r>
      <w:r w:rsidR="00181811" w:rsidRPr="005E41E0">
        <w:rPr>
          <w:rFonts w:cstheme="minorHAnsi"/>
        </w:rPr>
        <w:t>Igaunijā.</w:t>
      </w:r>
      <w:r w:rsidR="00686876">
        <w:rPr>
          <w:rFonts w:cstheme="minorHAnsi"/>
        </w:rPr>
        <w:t xml:space="preserve"> </w:t>
      </w:r>
      <w:r w:rsidR="00181811" w:rsidRPr="005E41E0">
        <w:rPr>
          <w:rFonts w:cstheme="minorHAnsi"/>
        </w:rPr>
        <w:t xml:space="preserve">Maršruta garums ir 1419 km, </w:t>
      </w:r>
      <w:r w:rsidR="005E41E0" w:rsidRPr="005E41E0">
        <w:rPr>
          <w:rFonts w:cstheme="minorHAnsi"/>
        </w:rPr>
        <w:t>no tiem</w:t>
      </w:r>
      <w:r w:rsidR="00181811" w:rsidRPr="005E41E0">
        <w:rPr>
          <w:rFonts w:cstheme="minorHAnsi"/>
        </w:rPr>
        <w:t xml:space="preserve"> 216 km Lietuvā, 581 km Latvijā un 622 km Igaunijā.</w:t>
      </w:r>
    </w:p>
    <w:p w:rsidR="005E41E0" w:rsidRDefault="005E41E0" w:rsidP="005E41E0">
      <w:pPr>
        <w:spacing w:after="0" w:line="240" w:lineRule="auto"/>
        <w:jc w:val="both"/>
        <w:rPr>
          <w:rFonts w:cstheme="minorHAnsi"/>
        </w:rPr>
      </w:pPr>
    </w:p>
    <w:p w:rsidR="00181811" w:rsidRDefault="00686876" w:rsidP="005E41E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1146175</wp:posOffset>
            </wp:positionH>
            <wp:positionV relativeFrom="paragraph">
              <wp:posOffset>502920</wp:posOffset>
            </wp:positionV>
            <wp:extent cx="514350" cy="428625"/>
            <wp:effectExtent l="19050" t="0" r="0" b="0"/>
            <wp:wrapSquare wrapText="bothSides"/>
            <wp:docPr id="24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7" t="20811" r="25970" b="19224"/>
                    <a:stretch/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41E0" w:rsidRPr="005E41E0">
        <w:rPr>
          <w:rFonts w:cstheme="minorHAnsi"/>
        </w:rPr>
        <w:t xml:space="preserve">Jūrtaka </w:t>
      </w:r>
      <w:r w:rsidR="00181811" w:rsidRPr="005E41E0">
        <w:rPr>
          <w:rFonts w:cstheme="minorHAnsi"/>
        </w:rPr>
        <w:t xml:space="preserve">ir daļa no Eiropas garo pārgājienu </w:t>
      </w:r>
      <w:r w:rsidR="005E41E0" w:rsidRPr="005E41E0">
        <w:rPr>
          <w:rFonts w:cstheme="minorHAnsi"/>
        </w:rPr>
        <w:t xml:space="preserve">maršruta </w:t>
      </w:r>
      <w:r w:rsidR="00181811" w:rsidRPr="005E41E0">
        <w:rPr>
          <w:rFonts w:cstheme="minorHAnsi"/>
        </w:rPr>
        <w:t>E9, kas sā</w:t>
      </w:r>
      <w:r w:rsidR="005E41E0" w:rsidRPr="005E41E0">
        <w:rPr>
          <w:rFonts w:cstheme="minorHAnsi"/>
        </w:rPr>
        <w:t>kas Portugālē un beidzas Igaunijā</w:t>
      </w:r>
      <w:r w:rsidR="00181811" w:rsidRPr="005E41E0">
        <w:rPr>
          <w:rFonts w:cstheme="minorHAnsi"/>
        </w:rPr>
        <w:t>. E9 maršruts šķērso 10 valstis: Portugāli, Spāniju, Franciju, Beļģiju, Nīderlandi, Vāciju, Poliju, Lietuvu, Latviju un Igauniju.</w:t>
      </w:r>
    </w:p>
    <w:p w:rsidR="00686876" w:rsidRDefault="00686876" w:rsidP="005E41E0">
      <w:pPr>
        <w:spacing w:after="0" w:line="240" w:lineRule="auto"/>
        <w:jc w:val="both"/>
        <w:rPr>
          <w:rFonts w:cstheme="minorHAnsi"/>
        </w:rPr>
      </w:pPr>
    </w:p>
    <w:p w:rsidR="00686876" w:rsidRPr="005E41E0" w:rsidRDefault="00686876" w:rsidP="005E41E0">
      <w:pPr>
        <w:spacing w:after="0" w:line="240" w:lineRule="auto"/>
        <w:jc w:val="both"/>
        <w:rPr>
          <w:rFonts w:cstheme="minorHAnsi"/>
        </w:rPr>
      </w:pPr>
    </w:p>
    <w:p w:rsidR="005E41E0" w:rsidRPr="005E41E0" w:rsidRDefault="005E41E0" w:rsidP="00686876">
      <w:pPr>
        <w:pStyle w:val="mt-translation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E41E0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-1908175</wp:posOffset>
            </wp:positionH>
            <wp:positionV relativeFrom="paragraph">
              <wp:posOffset>306705</wp:posOffset>
            </wp:positionV>
            <wp:extent cx="1746250" cy="1746250"/>
            <wp:effectExtent l="19050" t="19050" r="25400" b="25400"/>
            <wp:wrapSquare wrapText="bothSides"/>
            <wp:docPr id="5" name="Picture 2" descr="Karte eiropa_ar_E11_Meztaka(L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e eiropa_ar_E11_Meztaka(LT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hyperlink r:id="rId12" w:history="1">
        <w:r w:rsidRPr="005E41E0">
          <w:rPr>
            <w:rStyle w:val="Hyperlink"/>
            <w:rFonts w:ascii="Calibri" w:hAnsi="Calibri" w:cs="Calibri"/>
            <w:b/>
            <w:sz w:val="22"/>
            <w:szCs w:val="22"/>
            <w:shd w:val="clear" w:color="auto" w:fill="FFFFFF"/>
          </w:rPr>
          <w:t>Mežtaka</w:t>
        </w:r>
      </w:hyperlink>
      <w:r w:rsidRPr="005E41E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ved cauri Lietuvas, Latvijas un Igaunijas skaistākajiem mežiem un nacionālajiem parkiem.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Takas sākumpunkts ir Lazdijai ciemā pie</w:t>
      </w:r>
      <w:r w:rsidRPr="005E41E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Polijas-Lietuvas robežas, tālāk tā šķērso Lietuvu un Latviju, bet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galapunkts ir Tallina Igaunijā</w:t>
      </w:r>
      <w:r w:rsidRPr="005E41E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68687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C3BF1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Maršruta garums ir 2141 km, </w:t>
      </w:r>
      <w:r w:rsidR="0088069E" w:rsidRPr="009C3BF1">
        <w:rPr>
          <w:rFonts w:ascii="Calibri" w:hAnsi="Calibri" w:cs="Calibri"/>
          <w:color w:val="000000" w:themeColor="text1"/>
          <w:sz w:val="22"/>
          <w:shd w:val="clear" w:color="auto" w:fill="FFFFFF"/>
        </w:rPr>
        <w:t>no tiem</w:t>
      </w:r>
      <w:r w:rsidRPr="009C3BF1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747 km Lietuvā, 674 km Latvijā un 720 km Igaunijā.</w:t>
      </w:r>
    </w:p>
    <w:p w:rsidR="00181811" w:rsidRDefault="0088069E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Mež</w:t>
      </w:r>
      <w:r w:rsidR="005E41E0" w:rsidRPr="005E41E0">
        <w:rPr>
          <w:rFonts w:ascii="Calibri" w:hAnsi="Calibri" w:cs="Calibri"/>
          <w:color w:val="000000" w:themeColor="text1"/>
          <w:shd w:val="clear" w:color="auto" w:fill="FFFFFF"/>
        </w:rPr>
        <w:t xml:space="preserve">taka ir daļa no Eiropas </w:t>
      </w:r>
      <w:r w:rsidRPr="005E41E0">
        <w:rPr>
          <w:rFonts w:cstheme="minorHAnsi"/>
        </w:rPr>
        <w:t xml:space="preserve">garo pārgājienu </w:t>
      </w:r>
      <w:r>
        <w:rPr>
          <w:rFonts w:cstheme="minorHAnsi"/>
        </w:rPr>
        <w:t>maršruta</w:t>
      </w:r>
      <w:r w:rsidR="005E41E0" w:rsidRPr="005E41E0">
        <w:rPr>
          <w:rFonts w:ascii="Calibri" w:hAnsi="Calibri" w:cs="Calibri"/>
          <w:color w:val="000000" w:themeColor="text1"/>
          <w:shd w:val="clear" w:color="auto" w:fill="FFFFFF"/>
        </w:rPr>
        <w:t xml:space="preserve"> E11, kas ved cauri sešām valstīm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5E41E0" w:rsidRPr="005E41E0">
        <w:rPr>
          <w:rFonts w:ascii="Calibri" w:hAnsi="Calibri" w:cs="Calibri"/>
          <w:color w:val="000000" w:themeColor="text1"/>
          <w:shd w:val="clear" w:color="auto" w:fill="FFFFFF"/>
        </w:rPr>
        <w:t>Nīderlandei, Vācijai, Polijai, Lietuvai, Latvijai un Igaunijai.</w:t>
      </w:r>
      <w:r w:rsidR="00D033AE" w:rsidRPr="008022AD">
        <w:rPr>
          <w:rFonts w:asciiTheme="majorHAnsi" w:hAnsiTheme="majorHAnsi"/>
          <w:i/>
          <w:noProof/>
        </w:rPr>
        <w:t xml:space="preserve"> </w:t>
      </w:r>
    </w:p>
    <w:p w:rsidR="009C7304" w:rsidRDefault="00AD41F2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noProof/>
          <w:color w:val="000000" w:themeColor="text1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41275</wp:posOffset>
            </wp:positionV>
            <wp:extent cx="552450" cy="46672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6876" w:rsidRDefault="00686876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:rsidR="008022AD" w:rsidRDefault="008022AD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:rsidR="00686876" w:rsidRDefault="00686876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:rsidR="000F1AF0" w:rsidRPr="000F1AF0" w:rsidRDefault="000F1AF0" w:rsidP="005E41E0">
      <w:pPr>
        <w:spacing w:after="0" w:line="240" w:lineRule="auto"/>
        <w:jc w:val="both"/>
        <w:rPr>
          <w:rStyle w:val="word"/>
          <w:rFonts w:cstheme="minorHAnsi"/>
          <w:b/>
        </w:rPr>
      </w:pPr>
      <w:r w:rsidRPr="000F1AF0">
        <w:rPr>
          <w:rStyle w:val="word"/>
          <w:rFonts w:cstheme="minorHAnsi"/>
          <w:b/>
        </w:rPr>
        <w:t>Pārgājien</w:t>
      </w:r>
      <w:r w:rsidR="00686876">
        <w:rPr>
          <w:rStyle w:val="word"/>
          <w:rFonts w:cstheme="minorHAnsi"/>
          <w:b/>
        </w:rPr>
        <w:t xml:space="preserve">u vide </w:t>
      </w:r>
      <w:r w:rsidRPr="000F1AF0">
        <w:rPr>
          <w:rStyle w:val="word"/>
          <w:rFonts w:cstheme="minorHAnsi"/>
          <w:b/>
        </w:rPr>
        <w:t>un pakalpojumi</w:t>
      </w:r>
      <w:r w:rsidR="008022AD">
        <w:rPr>
          <w:rStyle w:val="word"/>
          <w:rFonts w:cstheme="minorHAnsi"/>
          <w:b/>
        </w:rPr>
        <w:t xml:space="preserve"> gājējiem</w:t>
      </w:r>
    </w:p>
    <w:p w:rsidR="009C7304" w:rsidRDefault="009C7304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Style w:val="word"/>
          <w:rFonts w:cstheme="minorHAnsi"/>
        </w:rPr>
        <w:t xml:space="preserve">Mežtaka un Jūrtaka ved cauri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9 nacionālajiem parkiem, 1 biosfēras rezervātam un vairāk </w:t>
      </w:r>
      <w:r w:rsidRPr="009C7304">
        <w:rPr>
          <w:rFonts w:ascii="Calibri" w:hAnsi="Calibri" w:cs="Calibri"/>
          <w:color w:val="000000" w:themeColor="text1"/>
          <w:shd w:val="clear" w:color="auto" w:fill="FFFFFF"/>
        </w:rPr>
        <w:t>kā 100 aizsargājam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ām dabas teritorijām. Neskartas dabas vietas mijas ar lauku ciemiem, izcilām ainavām jūras stāvkrastos un upju </w:t>
      </w:r>
      <w:r w:rsidR="00F332BD">
        <w:rPr>
          <w:rFonts w:ascii="Calibri" w:hAnsi="Calibri" w:cs="Calibri"/>
          <w:color w:val="000000" w:themeColor="text1"/>
          <w:shd w:val="clear" w:color="auto" w:fill="FFFFFF"/>
        </w:rPr>
        <w:t xml:space="preserve">ielejās, šarmantām mazpilsētām un lielpilsētu parkiem. Lai noietu Jūrtaku visā garumā, </w:t>
      </w:r>
      <w:r w:rsidR="00F332BD">
        <w:rPr>
          <w:rFonts w:ascii="Calibri" w:hAnsi="Calibri" w:cs="Calibri"/>
          <w:color w:val="000000" w:themeColor="text1"/>
          <w:shd w:val="clear" w:color="auto" w:fill="FFFFFF"/>
        </w:rPr>
        <w:lastRenderedPageBreak/>
        <w:t xml:space="preserve">būtu nepieciešami 2 ½ mēneši, savukārt, Mežtakas gājums prasītu 3 ½ mēnešus. Abas takas ir sadalītas aptuveni 20km garos dienas gājuma posmos ar naktsmītņu un ēdināšanas iespējām. Gājēji var izvēlēties jebkuru posmu īsākam vai garākam pārgājienam, nakšņojot ērtās viesu mājās vai </w:t>
      </w:r>
      <w:r w:rsidR="00686876">
        <w:rPr>
          <w:rFonts w:ascii="Calibri" w:hAnsi="Calibri" w:cs="Calibri"/>
          <w:color w:val="000000" w:themeColor="text1"/>
          <w:shd w:val="clear" w:color="auto" w:fill="FFFFFF"/>
        </w:rPr>
        <w:t xml:space="preserve">apmetnes vietās </w:t>
      </w:r>
      <w:r w:rsidR="00F332BD">
        <w:rPr>
          <w:rFonts w:ascii="Calibri" w:hAnsi="Calibri" w:cs="Calibri"/>
          <w:color w:val="000000" w:themeColor="text1"/>
          <w:shd w:val="clear" w:color="auto" w:fill="FFFFFF"/>
        </w:rPr>
        <w:t xml:space="preserve">brīvā dabā. </w:t>
      </w:r>
    </w:p>
    <w:p w:rsidR="009C7304" w:rsidRDefault="009C7304" w:rsidP="005E41E0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:rsidR="006D076B" w:rsidRDefault="00E001CC" w:rsidP="006D076B">
      <w:pPr>
        <w:jc w:val="both"/>
        <w:rPr>
          <w:rFonts w:ascii="Calibri" w:hAnsi="Calibri" w:cs="Calibri"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1133475" cy="1095375"/>
            <wp:effectExtent l="19050" t="0" r="9525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76B">
        <w:rPr>
          <w:rFonts w:ascii="Calibri" w:hAnsi="Calibri" w:cs="Calibri"/>
          <w:bCs/>
        </w:rPr>
        <w:t>Kopumā Mežtakas un Jūrtakas tuvumā atrodas ap 2000 dažādu pakalpojumu sniedzēju – naktsmītnes, kafejnīcas, veikali, transports, apskates vietas, tūrisma informācijas centri un citi. Zīme „G</w:t>
      </w:r>
      <w:r w:rsidR="006D076B" w:rsidRPr="006D076B">
        <w:rPr>
          <w:rFonts w:ascii="Calibri" w:hAnsi="Calibri" w:cs="Calibri"/>
          <w:bCs/>
        </w:rPr>
        <w:t>ājējam draudzīgs”</w:t>
      </w:r>
      <w:r w:rsidR="006D076B">
        <w:rPr>
          <w:rFonts w:ascii="Calibri" w:hAnsi="Calibri" w:cs="Calibri"/>
          <w:bCs/>
        </w:rPr>
        <w:t xml:space="preserve"> </w:t>
      </w:r>
      <w:r w:rsidR="006D076B" w:rsidRPr="006D076B">
        <w:rPr>
          <w:rFonts w:ascii="Calibri" w:hAnsi="Calibri" w:cs="Calibri"/>
          <w:bCs/>
        </w:rPr>
        <w:t xml:space="preserve">tiek piešķirta </w:t>
      </w:r>
      <w:r w:rsidR="006D076B">
        <w:rPr>
          <w:rFonts w:ascii="Calibri" w:hAnsi="Calibri" w:cs="Calibri"/>
          <w:bCs/>
        </w:rPr>
        <w:t xml:space="preserve">tiem </w:t>
      </w:r>
      <w:r w:rsidR="006D076B" w:rsidRPr="006D076B">
        <w:rPr>
          <w:rFonts w:ascii="Calibri" w:hAnsi="Calibri" w:cs="Calibri"/>
          <w:bCs/>
        </w:rPr>
        <w:t xml:space="preserve">tūrisma pakalpojumu sniedzējiem </w:t>
      </w:r>
      <w:r w:rsidR="006D076B">
        <w:rPr>
          <w:rFonts w:ascii="Calibri" w:hAnsi="Calibri" w:cs="Calibri"/>
          <w:bCs/>
        </w:rPr>
        <w:t xml:space="preserve">visās trīs </w:t>
      </w:r>
      <w:r w:rsidR="006D076B" w:rsidRPr="006D076B">
        <w:rPr>
          <w:rFonts w:ascii="Calibri" w:hAnsi="Calibri" w:cs="Calibri"/>
          <w:bCs/>
        </w:rPr>
        <w:t>Baltijas valstīs, k</w:t>
      </w:r>
      <w:r w:rsidR="006D076B">
        <w:rPr>
          <w:rFonts w:ascii="Calibri" w:hAnsi="Calibri" w:cs="Calibri"/>
          <w:bCs/>
        </w:rPr>
        <w:t xml:space="preserve">uri </w:t>
      </w:r>
      <w:r w:rsidR="006D076B" w:rsidRPr="006D076B">
        <w:rPr>
          <w:rFonts w:ascii="Calibri" w:hAnsi="Calibri" w:cs="Calibri"/>
          <w:bCs/>
        </w:rPr>
        <w:t>saprot un respektē kājāmgājēju vajadzības, piedāvā kājāmgājējiem būtiskus</w:t>
      </w:r>
      <w:r w:rsidR="006D076B">
        <w:rPr>
          <w:rFonts w:ascii="Calibri" w:hAnsi="Calibri" w:cs="Calibri"/>
          <w:bCs/>
        </w:rPr>
        <w:t xml:space="preserve"> </w:t>
      </w:r>
      <w:r w:rsidR="006D076B" w:rsidRPr="006D076B">
        <w:rPr>
          <w:rFonts w:ascii="Calibri" w:hAnsi="Calibri" w:cs="Calibri"/>
          <w:bCs/>
        </w:rPr>
        <w:t>pakalpojumus, piemēram: informāciju par maršrutu, dzeramo ūdeni, pirmās palīdzības aptieciņu,</w:t>
      </w:r>
      <w:r w:rsidR="006D076B">
        <w:rPr>
          <w:rFonts w:ascii="Calibri" w:hAnsi="Calibri" w:cs="Calibri"/>
          <w:bCs/>
        </w:rPr>
        <w:t xml:space="preserve"> </w:t>
      </w:r>
      <w:r w:rsidR="006D076B" w:rsidRPr="006D076B">
        <w:rPr>
          <w:rFonts w:ascii="Calibri" w:hAnsi="Calibri" w:cs="Calibri"/>
          <w:bCs/>
        </w:rPr>
        <w:t>ele</w:t>
      </w:r>
      <w:r w:rsidR="006D076B">
        <w:rPr>
          <w:rFonts w:ascii="Calibri" w:hAnsi="Calibri" w:cs="Calibri"/>
          <w:bCs/>
        </w:rPr>
        <w:t>ktroierīču uzlādi, iespēju</w:t>
      </w:r>
      <w:r w:rsidR="006D076B" w:rsidRPr="006D076B">
        <w:rPr>
          <w:rFonts w:ascii="Calibri" w:hAnsi="Calibri" w:cs="Calibri"/>
          <w:bCs/>
        </w:rPr>
        <w:t xml:space="preserve"> izžāvēt slapjās un izmazgāt netīrās drēbes, zābakus u.c. personīgu ekipējumu.</w:t>
      </w:r>
      <w:r w:rsidR="006D076B">
        <w:rPr>
          <w:rFonts w:ascii="Calibri" w:hAnsi="Calibri" w:cs="Calibri"/>
          <w:bCs/>
        </w:rPr>
        <w:t xml:space="preserve"> </w:t>
      </w:r>
    </w:p>
    <w:p w:rsidR="00F843E1" w:rsidRPr="00F843E1" w:rsidRDefault="00F843E1" w:rsidP="00F843E1">
      <w:pPr>
        <w:spacing w:after="0"/>
        <w:jc w:val="both"/>
        <w:rPr>
          <w:rFonts w:ascii="Calibri" w:hAnsi="Calibri" w:cs="Calibri"/>
          <w:b/>
          <w:bCs/>
        </w:rPr>
      </w:pPr>
      <w:r w:rsidRPr="00F843E1">
        <w:rPr>
          <w:rFonts w:ascii="Calibri" w:hAnsi="Calibri" w:cs="Calibri"/>
          <w:b/>
          <w:bCs/>
        </w:rPr>
        <w:t>Informācija pārgājienu plānošanai</w:t>
      </w:r>
    </w:p>
    <w:p w:rsidR="00F843E1" w:rsidRDefault="00F843E1" w:rsidP="00F843E1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Pilna un detalizēta</w:t>
      </w:r>
      <w:r w:rsidRPr="00F843E1">
        <w:rPr>
          <w:rFonts w:ascii="Calibri" w:hAnsi="Calibri" w:cs="Calibri"/>
          <w:bCs/>
        </w:rPr>
        <w:t xml:space="preserve"> informācij</w:t>
      </w:r>
      <w:r>
        <w:rPr>
          <w:rFonts w:ascii="Calibri" w:hAnsi="Calibri" w:cs="Calibri"/>
          <w:bCs/>
        </w:rPr>
        <w:t xml:space="preserve">a atrodama </w:t>
      </w:r>
      <w:hyperlink r:id="rId15" w:history="1">
        <w:r w:rsidRPr="00F843E1">
          <w:rPr>
            <w:rStyle w:val="Hyperlink"/>
            <w:rFonts w:ascii="Calibri" w:hAnsi="Calibri" w:cs="Calibri"/>
            <w:bCs/>
          </w:rPr>
          <w:t>baltictrails.eu</w:t>
        </w:r>
      </w:hyperlink>
      <w:r>
        <w:rPr>
          <w:rFonts w:ascii="Calibri" w:hAnsi="Calibri" w:cs="Calibri"/>
          <w:bCs/>
        </w:rPr>
        <w:t xml:space="preserve">: katra </w:t>
      </w:r>
      <w:r w:rsidRPr="00F843E1">
        <w:rPr>
          <w:rFonts w:ascii="Calibri" w:hAnsi="Calibri" w:cs="Calibri"/>
          <w:bCs/>
        </w:rPr>
        <w:t>maršruta posmu aprakst</w:t>
      </w:r>
      <w:r>
        <w:rPr>
          <w:rFonts w:ascii="Calibri" w:hAnsi="Calibri" w:cs="Calibri"/>
          <w:bCs/>
        </w:rPr>
        <w:t xml:space="preserve">i </w:t>
      </w:r>
      <w:r w:rsidRPr="00F843E1">
        <w:rPr>
          <w:rFonts w:ascii="Calibri" w:hAnsi="Calibri" w:cs="Calibri"/>
          <w:bCs/>
        </w:rPr>
        <w:t>ar sākuma</w:t>
      </w:r>
      <w:r>
        <w:rPr>
          <w:rFonts w:ascii="Calibri" w:hAnsi="Calibri" w:cs="Calibri"/>
          <w:bCs/>
        </w:rPr>
        <w:t xml:space="preserve"> un beigu punktiem, informācija par takas segumu, reljefu, v</w:t>
      </w:r>
      <w:r w:rsidRPr="00F843E1">
        <w:rPr>
          <w:rFonts w:ascii="Calibri" w:hAnsi="Calibri" w:cs="Calibri"/>
          <w:bCs/>
        </w:rPr>
        <w:t>ietām, kur paēst, iegādāties ūdeni un našķus, kā arī n</w:t>
      </w:r>
      <w:r>
        <w:rPr>
          <w:rFonts w:ascii="Calibri" w:hAnsi="Calibri" w:cs="Calibri"/>
          <w:bCs/>
        </w:rPr>
        <w:t>akšņot</w:t>
      </w:r>
      <w:r w:rsidRPr="00F843E1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Sniegta arī p</w:t>
      </w:r>
      <w:r w:rsidRPr="00F843E1">
        <w:rPr>
          <w:rFonts w:ascii="Calibri" w:hAnsi="Calibri" w:cs="Calibri"/>
          <w:bCs/>
        </w:rPr>
        <w:t xml:space="preserve">lašāka </w:t>
      </w:r>
      <w:r>
        <w:rPr>
          <w:rFonts w:ascii="Calibri" w:hAnsi="Calibri" w:cs="Calibri"/>
          <w:bCs/>
        </w:rPr>
        <w:t>informācija par interesantākajiem un nozīmīgākajiem objektiem</w:t>
      </w:r>
      <w:r w:rsidRPr="00F843E1">
        <w:rPr>
          <w:rFonts w:ascii="Calibri" w:hAnsi="Calibri" w:cs="Calibri"/>
          <w:bCs/>
        </w:rPr>
        <w:t>, ainavām, dabas vērtībām</w:t>
      </w:r>
      <w:r>
        <w:rPr>
          <w:rFonts w:ascii="Calibri" w:hAnsi="Calibri" w:cs="Calibri"/>
          <w:bCs/>
        </w:rPr>
        <w:t xml:space="preserve">. Vietnē ir pieejamas </w:t>
      </w:r>
      <w:r w:rsidRPr="00F843E1">
        <w:rPr>
          <w:rFonts w:ascii="Calibri" w:hAnsi="Calibri" w:cs="Calibri"/>
          <w:bCs/>
        </w:rPr>
        <w:t>kartes un lejupielādējami GPX maršruti</w:t>
      </w:r>
      <w:r>
        <w:rPr>
          <w:rFonts w:ascii="Calibri" w:hAnsi="Calibri" w:cs="Calibri"/>
          <w:bCs/>
        </w:rPr>
        <w:t xml:space="preserve">. Iedvesmai un pārgājiena noskaņojumam skatāmi video no takām. </w:t>
      </w:r>
    </w:p>
    <w:p w:rsidR="00F843E1" w:rsidRDefault="00F843E1" w:rsidP="00F843E1">
      <w:pPr>
        <w:spacing w:after="0"/>
        <w:jc w:val="both"/>
        <w:rPr>
          <w:rFonts w:ascii="Calibri" w:hAnsi="Calibri" w:cs="Calibri"/>
          <w:bCs/>
        </w:rPr>
      </w:pPr>
    </w:p>
    <w:p w:rsidR="000F1AF0" w:rsidRPr="000F1AF0" w:rsidRDefault="000F1AF0" w:rsidP="000F1AF0">
      <w:pPr>
        <w:spacing w:after="0"/>
        <w:jc w:val="both"/>
        <w:rPr>
          <w:rFonts w:ascii="Calibri" w:hAnsi="Calibri" w:cs="Calibri"/>
          <w:b/>
          <w:bCs/>
        </w:rPr>
      </w:pPr>
      <w:r w:rsidRPr="000F1AF0">
        <w:rPr>
          <w:rFonts w:ascii="Calibri" w:hAnsi="Calibri" w:cs="Calibri"/>
          <w:b/>
          <w:bCs/>
        </w:rPr>
        <w:t>Pārgājienu entuziastu kopiena Baltijas valstīs</w:t>
      </w:r>
    </w:p>
    <w:p w:rsidR="000F1AF0" w:rsidRDefault="006D076B" w:rsidP="000F1AF0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Aktivitātes sociālajos tīklos liecina, ka visās trīs Baltijas valstīs </w:t>
      </w:r>
      <w:r w:rsidR="00686876">
        <w:rPr>
          <w:rFonts w:ascii="Calibri" w:hAnsi="Calibri" w:cs="Calibri"/>
          <w:bCs/>
        </w:rPr>
        <w:t>iz</w:t>
      </w:r>
      <w:r>
        <w:rPr>
          <w:rFonts w:ascii="Calibri" w:hAnsi="Calibri" w:cs="Calibri"/>
          <w:bCs/>
        </w:rPr>
        <w:t>veidoj</w:t>
      </w:r>
      <w:r w:rsidR="00686876">
        <w:rPr>
          <w:rFonts w:ascii="Calibri" w:hAnsi="Calibri" w:cs="Calibri"/>
          <w:bCs/>
        </w:rPr>
        <w:t xml:space="preserve">usies </w:t>
      </w:r>
      <w:r>
        <w:rPr>
          <w:rFonts w:ascii="Calibri" w:hAnsi="Calibri" w:cs="Calibri"/>
          <w:bCs/>
        </w:rPr>
        <w:t xml:space="preserve">spēcīga pārgājienu tūrisma entuziastu kopiena. Gājēji </w:t>
      </w:r>
      <w:r w:rsidR="00275D06">
        <w:rPr>
          <w:rFonts w:ascii="Calibri" w:hAnsi="Calibri" w:cs="Calibri"/>
          <w:bCs/>
        </w:rPr>
        <w:t xml:space="preserve">sociālajos tīklos </w:t>
      </w:r>
      <w:r>
        <w:rPr>
          <w:rFonts w:ascii="Calibri" w:hAnsi="Calibri" w:cs="Calibri"/>
          <w:bCs/>
        </w:rPr>
        <w:t>dalās savās pārgājienu pieredzēs</w:t>
      </w:r>
      <w:r w:rsidR="00275D06">
        <w:rPr>
          <w:rFonts w:ascii="Calibri" w:hAnsi="Calibri" w:cs="Calibri"/>
          <w:bCs/>
        </w:rPr>
        <w:t xml:space="preserve"> Mežtakā un Jūrtakā</w:t>
      </w:r>
      <w:r>
        <w:rPr>
          <w:rFonts w:ascii="Calibri" w:hAnsi="Calibri" w:cs="Calibri"/>
          <w:bCs/>
        </w:rPr>
        <w:t>, ceļo gan vienatnē, gan kopā ar draugiem un ģimenēm, ar saviem mīluļiem – suņiem un pat zirga mugurā. Vairāk kā 600 brīvpr</w:t>
      </w:r>
      <w:r w:rsidR="00275D06">
        <w:rPr>
          <w:rFonts w:ascii="Calibri" w:hAnsi="Calibri" w:cs="Calibri"/>
          <w:bCs/>
        </w:rPr>
        <w:t xml:space="preserve">ātīgie entuziasti </w:t>
      </w:r>
      <w:r w:rsidR="003432A1">
        <w:rPr>
          <w:rFonts w:ascii="Calibri" w:hAnsi="Calibri" w:cs="Calibri"/>
          <w:bCs/>
        </w:rPr>
        <w:t xml:space="preserve">no kopumā piecām valstīm </w:t>
      </w:r>
      <w:r w:rsidR="00275D06">
        <w:rPr>
          <w:rFonts w:ascii="Calibri" w:hAnsi="Calibri" w:cs="Calibri"/>
          <w:bCs/>
        </w:rPr>
        <w:t>piedalījās</w:t>
      </w:r>
      <w:r>
        <w:rPr>
          <w:rFonts w:ascii="Calibri" w:hAnsi="Calibri" w:cs="Calibri"/>
          <w:bCs/>
        </w:rPr>
        <w:t xml:space="preserve"> taku apsekošanas pārgājienos un taku marķēšanā. </w:t>
      </w:r>
      <w:r w:rsidR="00275D06">
        <w:rPr>
          <w:rFonts w:ascii="Calibri" w:hAnsi="Calibri" w:cs="Calibri"/>
          <w:bCs/>
        </w:rPr>
        <w:t xml:space="preserve">Jaunākajam no tiem – 2 gadi, vecākajam – 69. </w:t>
      </w:r>
      <w:r>
        <w:rPr>
          <w:rFonts w:ascii="Calibri" w:hAnsi="Calibri" w:cs="Calibri"/>
          <w:bCs/>
        </w:rPr>
        <w:t xml:space="preserve">Tas </w:t>
      </w:r>
      <w:r w:rsidR="00275D06">
        <w:rPr>
          <w:rFonts w:ascii="Calibri" w:hAnsi="Calibri" w:cs="Calibri"/>
          <w:bCs/>
        </w:rPr>
        <w:t>ap</w:t>
      </w:r>
      <w:r>
        <w:rPr>
          <w:rFonts w:ascii="Calibri" w:hAnsi="Calibri" w:cs="Calibri"/>
          <w:bCs/>
        </w:rPr>
        <w:t>liecina, ka garo distanču pārgājienu takas ir nepieciešamas visai sabiedrībai un</w:t>
      </w:r>
      <w:r w:rsidR="00275D06">
        <w:rPr>
          <w:rFonts w:ascii="Calibri" w:hAnsi="Calibri" w:cs="Calibri"/>
          <w:bCs/>
        </w:rPr>
        <w:t xml:space="preserve"> veidojas jauns domāšanas veids, kam ir svarīgi atrasties brīvā dabā, iet garos pārgājienos un dalīties piedzīvotajos iespaidos ar citiem. </w:t>
      </w:r>
    </w:p>
    <w:p w:rsidR="00A80F8B" w:rsidRDefault="00A80F8B" w:rsidP="000F1AF0">
      <w:pPr>
        <w:spacing w:after="0"/>
        <w:jc w:val="both"/>
        <w:rPr>
          <w:rFonts w:ascii="Calibri" w:hAnsi="Calibri" w:cs="Calibri"/>
          <w:bCs/>
        </w:rPr>
      </w:pPr>
    </w:p>
    <w:p w:rsidR="000F1AF0" w:rsidRPr="000F1AF0" w:rsidRDefault="000F1AF0" w:rsidP="000F1AF0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Starptautiska </w:t>
      </w:r>
      <w:r w:rsidRPr="000F1AF0">
        <w:rPr>
          <w:rFonts w:ascii="Calibri" w:hAnsi="Calibri" w:cs="Calibri"/>
          <w:b/>
          <w:bCs/>
        </w:rPr>
        <w:t xml:space="preserve">konference </w:t>
      </w:r>
      <w:r>
        <w:rPr>
          <w:rFonts w:ascii="Calibri" w:hAnsi="Calibri" w:cs="Calibri"/>
          <w:b/>
          <w:bCs/>
        </w:rPr>
        <w:t xml:space="preserve">par </w:t>
      </w:r>
      <w:r w:rsidRPr="000F1AF0">
        <w:rPr>
          <w:rFonts w:ascii="Calibri" w:hAnsi="Calibri" w:cs="Calibri"/>
          <w:b/>
          <w:bCs/>
        </w:rPr>
        <w:t>turpmāk</w:t>
      </w:r>
      <w:r>
        <w:rPr>
          <w:rFonts w:ascii="Calibri" w:hAnsi="Calibri" w:cs="Calibri"/>
          <w:b/>
          <w:bCs/>
        </w:rPr>
        <w:t>u garo distanču pārgājienu taku attīstību</w:t>
      </w:r>
    </w:p>
    <w:p w:rsidR="00275D06" w:rsidRDefault="00885647" w:rsidP="000F1AF0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9. novembrī starptautiskā tiešsaistes konferencē notiks diskusijas par to, k</w:t>
      </w:r>
      <w:r w:rsidR="000F1AF0">
        <w:rPr>
          <w:rFonts w:ascii="Calibri" w:hAnsi="Calibri" w:cs="Calibri"/>
          <w:bCs/>
        </w:rPr>
        <w:t xml:space="preserve">ādā veidā turpināt vienotu garo </w:t>
      </w:r>
      <w:r>
        <w:rPr>
          <w:rFonts w:ascii="Calibri" w:hAnsi="Calibri" w:cs="Calibri"/>
          <w:bCs/>
        </w:rPr>
        <w:t xml:space="preserve">distanču pārgājienu taku uzturēšanu Baltijas valstīs. </w:t>
      </w:r>
      <w:r w:rsidR="000F1AF0">
        <w:rPr>
          <w:rFonts w:ascii="Calibri" w:hAnsi="Calibri" w:cs="Calibri"/>
          <w:bCs/>
        </w:rPr>
        <w:t>Tuvāk iepazīstot Mežtakas un Jūrtakas veidotāju pieredzi, uzklausot garo distanču pārgājienu taku veidošanas aktualitātes Zviedrijā un Norvēģijā, a</w:t>
      </w:r>
      <w:r>
        <w:rPr>
          <w:rFonts w:ascii="Calibri" w:hAnsi="Calibri" w:cs="Calibri"/>
          <w:bCs/>
        </w:rPr>
        <w:t>kt</w:t>
      </w:r>
      <w:r w:rsidR="000F1AF0">
        <w:rPr>
          <w:rFonts w:ascii="Calibri" w:hAnsi="Calibri" w:cs="Calibri"/>
          <w:bCs/>
        </w:rPr>
        <w:t xml:space="preserve">ualizēsim jautājumus par to, kā </w:t>
      </w:r>
      <w:r>
        <w:rPr>
          <w:rFonts w:ascii="Calibri" w:hAnsi="Calibri" w:cs="Calibri"/>
          <w:bCs/>
        </w:rPr>
        <w:t xml:space="preserve">turpmāk </w:t>
      </w:r>
      <w:r w:rsidR="000F1AF0">
        <w:rPr>
          <w:rFonts w:ascii="Calibri" w:hAnsi="Calibri" w:cs="Calibri"/>
          <w:bCs/>
        </w:rPr>
        <w:t xml:space="preserve">efektīvi </w:t>
      </w:r>
      <w:r>
        <w:rPr>
          <w:rFonts w:ascii="Calibri" w:hAnsi="Calibri" w:cs="Calibri"/>
          <w:bCs/>
        </w:rPr>
        <w:t>koordinē</w:t>
      </w:r>
      <w:r w:rsidR="000F1AF0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 xml:space="preserve"> taku infrastruktūru</w:t>
      </w:r>
      <w:r w:rsidR="000F1AF0">
        <w:rPr>
          <w:rFonts w:ascii="Calibri" w:hAnsi="Calibri" w:cs="Calibri"/>
          <w:bCs/>
        </w:rPr>
        <w:t xml:space="preserve">, vienotu informāciju </w:t>
      </w:r>
      <w:r>
        <w:rPr>
          <w:rFonts w:ascii="Calibri" w:hAnsi="Calibri" w:cs="Calibri"/>
          <w:bCs/>
        </w:rPr>
        <w:t>un turpmāko attīstību</w:t>
      </w:r>
      <w:r w:rsidR="000F1AF0">
        <w:rPr>
          <w:rFonts w:ascii="Calibri" w:hAnsi="Calibri" w:cs="Calibri"/>
          <w:bCs/>
        </w:rPr>
        <w:t xml:space="preserve"> Baltijas valstīs</w:t>
      </w:r>
      <w:r>
        <w:rPr>
          <w:rFonts w:ascii="Calibri" w:hAnsi="Calibri" w:cs="Calibri"/>
          <w:bCs/>
        </w:rPr>
        <w:t xml:space="preserve">. </w:t>
      </w:r>
      <w:r w:rsidR="000F1AF0">
        <w:rPr>
          <w:rFonts w:ascii="Calibri" w:hAnsi="Calibri" w:cs="Calibri"/>
          <w:bCs/>
        </w:rPr>
        <w:t xml:space="preserve">Konferences </w:t>
      </w:r>
      <w:r w:rsidR="003432A1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 xml:space="preserve">iskusiju tēmas ir arī ieguvumi un izaicinājumi vietējai sabiedrībai </w:t>
      </w:r>
      <w:r w:rsidR="002B686C">
        <w:rPr>
          <w:rFonts w:ascii="Calibri" w:hAnsi="Calibri" w:cs="Calibri"/>
          <w:bCs/>
        </w:rPr>
        <w:t xml:space="preserve">taku teritorijā, uzņēmējdarbības iespējas, </w:t>
      </w:r>
      <w:r w:rsidR="000F1AF0">
        <w:rPr>
          <w:rFonts w:ascii="Calibri" w:hAnsi="Calibri" w:cs="Calibri"/>
          <w:bCs/>
        </w:rPr>
        <w:t xml:space="preserve">pārgājienu </w:t>
      </w:r>
      <w:r>
        <w:rPr>
          <w:rFonts w:ascii="Calibri" w:hAnsi="Calibri" w:cs="Calibri"/>
          <w:bCs/>
        </w:rPr>
        <w:t xml:space="preserve">taku </w:t>
      </w:r>
      <w:r w:rsidR="002B686C">
        <w:rPr>
          <w:rFonts w:ascii="Calibri" w:hAnsi="Calibri" w:cs="Calibri"/>
          <w:bCs/>
        </w:rPr>
        <w:t>loma</w:t>
      </w:r>
      <w:r>
        <w:rPr>
          <w:rFonts w:ascii="Calibri" w:hAnsi="Calibri" w:cs="Calibri"/>
          <w:bCs/>
        </w:rPr>
        <w:t xml:space="preserve"> dabas un kultūras vērtību saglabāšanā. </w:t>
      </w:r>
    </w:p>
    <w:p w:rsidR="006D076B" w:rsidRDefault="002B686C" w:rsidP="00D53CC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Konference</w:t>
      </w:r>
      <w:r w:rsidR="000F1AF0">
        <w:rPr>
          <w:rFonts w:ascii="Calibri" w:hAnsi="Calibri" w:cs="Calibri"/>
          <w:bCs/>
        </w:rPr>
        <w:t xml:space="preserve"> noritēs Zoom platformā, darba valoda – angļu. </w:t>
      </w:r>
      <w:r>
        <w:rPr>
          <w:rFonts w:ascii="Calibri" w:hAnsi="Calibri" w:cs="Calibri"/>
          <w:bCs/>
        </w:rPr>
        <w:t xml:space="preserve">Vairāk informācijas </w:t>
      </w:r>
      <w:r w:rsidR="009679EC">
        <w:rPr>
          <w:rFonts w:ascii="Calibri" w:hAnsi="Calibri" w:cs="Calibri"/>
          <w:bCs/>
        </w:rPr>
        <w:t xml:space="preserve">par konferenci </w:t>
      </w:r>
      <w:hyperlink r:id="rId16" w:history="1">
        <w:r w:rsidRPr="002B686C">
          <w:rPr>
            <w:rStyle w:val="Hyperlink"/>
            <w:rFonts w:ascii="Calibri" w:hAnsi="Calibri" w:cs="Calibri"/>
            <w:bCs/>
          </w:rPr>
          <w:t>šeit</w:t>
        </w:r>
      </w:hyperlink>
      <w:r>
        <w:rPr>
          <w:rFonts w:ascii="Calibri" w:hAnsi="Calibri" w:cs="Calibri"/>
          <w:bCs/>
        </w:rPr>
        <w:t>.</w:t>
      </w:r>
      <w:bookmarkStart w:id="0" w:name="_GoBack"/>
      <w:bookmarkEnd w:id="0"/>
    </w:p>
    <w:p w:rsidR="00423192" w:rsidRDefault="002B686C" w:rsidP="00DB1A04">
      <w:pPr>
        <w:rPr>
          <w:rFonts w:cstheme="minorHAnsi"/>
        </w:rPr>
      </w:pPr>
      <w:r>
        <w:rPr>
          <w:rFonts w:cstheme="minorHAnsi"/>
        </w:rPr>
        <w:t>Tiekamies Mežtakā</w:t>
      </w:r>
      <w:r w:rsidR="003432A1">
        <w:rPr>
          <w:rFonts w:cstheme="minorHAnsi"/>
        </w:rPr>
        <w:t xml:space="preserve"> un Jūrtakā</w:t>
      </w:r>
      <w:r>
        <w:rPr>
          <w:rFonts w:cstheme="minorHAnsi"/>
        </w:rPr>
        <w:t>!</w:t>
      </w:r>
      <w:r w:rsidR="00F843E1">
        <w:rPr>
          <w:rFonts w:cstheme="minorHAnsi"/>
        </w:rPr>
        <w:br/>
      </w:r>
    </w:p>
    <w:p w:rsidR="00DB1A04" w:rsidRDefault="002B686C" w:rsidP="00DB1A04">
      <w:pPr>
        <w:rPr>
          <w:rFonts w:cstheme="minorHAnsi"/>
        </w:rPr>
      </w:pPr>
      <w:r w:rsidRPr="0064597C">
        <w:rPr>
          <w:rFonts w:cstheme="minorHAnsi"/>
        </w:rPr>
        <w:t xml:space="preserve">Ar cieņu, </w:t>
      </w:r>
      <w:r w:rsidR="00F843E1">
        <w:rPr>
          <w:rFonts w:cstheme="minorHAnsi"/>
        </w:rPr>
        <w:br/>
      </w:r>
      <w:r w:rsidRPr="0064597C">
        <w:rPr>
          <w:rFonts w:cstheme="minorHAnsi"/>
        </w:rPr>
        <w:t xml:space="preserve">Latvijas lauku tūrisma asociācija “Lauku ceļotājs” </w:t>
      </w:r>
    </w:p>
    <w:p w:rsidR="00D033AE" w:rsidRPr="00DB1A04" w:rsidRDefault="00D033AE" w:rsidP="00DB1A04">
      <w:pPr>
        <w:rPr>
          <w:rFonts w:cstheme="minorHAnsi"/>
        </w:rPr>
      </w:pPr>
      <w:r w:rsidRPr="00A95D20">
        <w:rPr>
          <w:rFonts w:asciiTheme="majorHAnsi" w:hAnsiTheme="majorHAnsi"/>
          <w:i/>
        </w:rPr>
        <w:lastRenderedPageBreak/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D033AE" w:rsidRDefault="00D033AE" w:rsidP="00D033AE">
      <w:pPr>
        <w:spacing w:after="120"/>
        <w:jc w:val="both"/>
        <w:rPr>
          <w:rFonts w:asciiTheme="majorHAnsi" w:hAnsiTheme="majorHAnsi"/>
          <w:i/>
        </w:rPr>
      </w:pPr>
      <w:r w:rsidRPr="0022399B">
        <w:rPr>
          <w:rFonts w:asciiTheme="majorHAnsi" w:hAnsiTheme="majorHAnsi"/>
          <w:i/>
        </w:rPr>
        <w:t>Projekts LLI-448  „Mežtakas izveide Latvijā un Lietuvā un Jūrtakas pagarināšana Lietuvā” (Pārgājienu projekts) tiek realizēts ar Eiropas Savienības Interreg V-A Latvijas – Lietuvas pārrobežu sadarbības programmas 2014. –2020. gadam atbalstu.</w:t>
      </w:r>
      <w:r>
        <w:rPr>
          <w:rFonts w:asciiTheme="majorHAnsi" w:hAnsiTheme="majorHAnsi"/>
          <w:i/>
        </w:rPr>
        <w:t xml:space="preserve"> </w:t>
      </w:r>
      <w:r w:rsidRPr="00FC6BA2">
        <w:rPr>
          <w:rFonts w:asciiTheme="majorHAnsi" w:hAnsiTheme="majorHAnsi"/>
          <w:i/>
        </w:rPr>
        <w:t>Kopējās projekta izmaksas ir 788 104,45 EUR. Projekta līdzfinansējums no Eiropas Reģionālās attīstības fonda ir 669 888,76 EUR.</w:t>
      </w:r>
    </w:p>
    <w:p w:rsidR="00D033AE" w:rsidRPr="00841C98" w:rsidRDefault="00D033AE" w:rsidP="00D033AE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Šī preses ziņa </w:t>
      </w:r>
      <w:r w:rsidRPr="0022399B">
        <w:rPr>
          <w:rFonts w:asciiTheme="majorHAnsi" w:hAnsiTheme="majorHAnsi"/>
          <w:i/>
        </w:rPr>
        <w:t>ir sagatavot</w:t>
      </w:r>
      <w:r>
        <w:rPr>
          <w:rFonts w:asciiTheme="majorHAnsi" w:hAnsiTheme="majorHAnsi"/>
          <w:i/>
        </w:rPr>
        <w:t>a</w:t>
      </w:r>
      <w:r w:rsidRPr="0022399B">
        <w:rPr>
          <w:rFonts w:asciiTheme="majorHAnsi" w:hAnsiTheme="majorHAnsi"/>
          <w:i/>
        </w:rPr>
        <w:t xml:space="preserve"> ar Eiropas Savienības finansiālo atbalstu.</w:t>
      </w:r>
      <w:r>
        <w:rPr>
          <w:rFonts w:asciiTheme="majorHAnsi" w:hAnsiTheme="majorHAnsi"/>
          <w:i/>
        </w:rPr>
        <w:t xml:space="preserve"> </w:t>
      </w:r>
      <w:r w:rsidRPr="0022399B">
        <w:rPr>
          <w:rFonts w:asciiTheme="majorHAnsi" w:hAnsiTheme="majorHAnsi"/>
          <w:i/>
        </w:rPr>
        <w:t>Par šī</w:t>
      </w:r>
      <w:r>
        <w:rPr>
          <w:rFonts w:asciiTheme="majorHAnsi" w:hAnsiTheme="majorHAnsi"/>
          <w:i/>
        </w:rPr>
        <w:t>s preses ziņas</w:t>
      </w:r>
      <w:r w:rsidRPr="0022399B">
        <w:rPr>
          <w:rFonts w:asciiTheme="majorHAnsi" w:hAnsiTheme="majorHAnsi"/>
          <w:i/>
        </w:rPr>
        <w:t xml:space="preserve"> saturu pilnībā atbild </w:t>
      </w:r>
      <w:r>
        <w:rPr>
          <w:rFonts w:asciiTheme="majorHAnsi" w:hAnsiTheme="majorHAnsi"/>
          <w:i/>
        </w:rPr>
        <w:t>LLTA “Lauku ceļotājs”</w:t>
      </w:r>
      <w:r w:rsidRPr="0022399B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</w:t>
      </w:r>
      <w:r w:rsidRPr="0022399B">
        <w:rPr>
          <w:rFonts w:asciiTheme="majorHAnsi" w:hAnsiTheme="majorHAnsi"/>
          <w:i/>
        </w:rPr>
        <w:t>un tas nekādos apstākļos nav uzskatāms par Eiropas Savienības oficiālo nostāju.</w:t>
      </w:r>
    </w:p>
    <w:p w:rsidR="00D033AE" w:rsidRPr="002B686C" w:rsidRDefault="00D033AE" w:rsidP="00F843E1"/>
    <w:sectPr w:rsidR="00D033AE" w:rsidRPr="002B686C" w:rsidSect="00DB1A04">
      <w:headerReference w:type="default" r:id="rId17"/>
      <w:footerReference w:type="default" r:id="rId18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A0" w:rsidRDefault="004845A0" w:rsidP="00A35538">
      <w:pPr>
        <w:spacing w:after="0" w:line="240" w:lineRule="auto"/>
      </w:pPr>
      <w:r>
        <w:separator/>
      </w:r>
    </w:p>
  </w:endnote>
  <w:endnote w:type="continuationSeparator" w:id="0">
    <w:p w:rsidR="004845A0" w:rsidRDefault="004845A0" w:rsidP="00A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38" w:rsidRDefault="00A35538">
    <w:pPr>
      <w:pStyle w:val="Footer"/>
    </w:pPr>
    <w:r>
      <w:rPr>
        <w:noProof/>
        <w:lang w:val="en-US"/>
      </w:rPr>
      <w:drawing>
        <wp:inline distT="0" distB="0" distL="0" distR="0">
          <wp:extent cx="5731510" cy="599440"/>
          <wp:effectExtent l="0" t="0" r="254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538" w:rsidRDefault="00A35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A0" w:rsidRDefault="004845A0" w:rsidP="00A35538">
      <w:pPr>
        <w:spacing w:after="0" w:line="240" w:lineRule="auto"/>
      </w:pPr>
      <w:r>
        <w:separator/>
      </w:r>
    </w:p>
  </w:footnote>
  <w:footnote w:type="continuationSeparator" w:id="0">
    <w:p w:rsidR="004845A0" w:rsidRDefault="004845A0" w:rsidP="00A3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38" w:rsidRDefault="00423192" w:rsidP="00D033AE">
    <w:pPr>
      <w:pStyle w:val="Header"/>
    </w:pPr>
    <w:r>
      <w:rPr>
        <w:noProof/>
        <w:szCs w:val="28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2870201</wp:posOffset>
          </wp:positionH>
          <wp:positionV relativeFrom="paragraph">
            <wp:posOffset>-43180</wp:posOffset>
          </wp:positionV>
          <wp:extent cx="711200" cy="79616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 Latvian vertica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96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3175</wp:posOffset>
          </wp:positionV>
          <wp:extent cx="843915" cy="581025"/>
          <wp:effectExtent l="0" t="0" r="0" b="9525"/>
          <wp:wrapNone/>
          <wp:docPr id="12" name="Picture 12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_veidlapa_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3AE" w:rsidRPr="00D9720D">
      <w:rPr>
        <w:rFonts w:ascii="Cambria" w:hAnsi="Cambria"/>
        <w:i/>
        <w:noProof/>
        <w:lang w:val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3738880</wp:posOffset>
          </wp:positionH>
          <wp:positionV relativeFrom="paragraph">
            <wp:posOffset>-130810</wp:posOffset>
          </wp:positionV>
          <wp:extent cx="2642870" cy="855345"/>
          <wp:effectExtent l="0" t="0" r="0" b="0"/>
          <wp:wrapNone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855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033AE">
      <w:t xml:space="preserve">          </w:t>
    </w:r>
    <w:r w:rsidR="00D033AE">
      <w:rPr>
        <w:rFonts w:asciiTheme="majorHAnsi" w:hAnsiTheme="majorHAnsi"/>
        <w:b/>
        <w:noProof/>
        <w:lang w:val="en-US"/>
      </w:rPr>
      <w:t xml:space="preserve"> </w:t>
    </w:r>
    <w:r w:rsidR="00D033AE" w:rsidRPr="00E71C71">
      <w:rPr>
        <w:rFonts w:asciiTheme="majorHAnsi" w:hAnsiTheme="majorHAnsi"/>
        <w:b/>
        <w:noProof/>
        <w:lang w:val="en-US"/>
      </w:rPr>
      <w:drawing>
        <wp:inline distT="0" distB="0" distL="0" distR="0">
          <wp:extent cx="2406055" cy="725994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 logo 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275" cy="731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5B1A"/>
    <w:multiLevelType w:val="hybridMultilevel"/>
    <w:tmpl w:val="97BEFEBA"/>
    <w:lvl w:ilvl="0" w:tplc="C5A02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C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A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6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6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4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9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4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85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1F15D2"/>
    <w:multiLevelType w:val="hybridMultilevel"/>
    <w:tmpl w:val="8738FC62"/>
    <w:lvl w:ilvl="0" w:tplc="F74A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27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C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B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A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A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4C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2B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8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77153D"/>
    <w:multiLevelType w:val="hybridMultilevel"/>
    <w:tmpl w:val="FE8CED00"/>
    <w:lvl w:ilvl="0" w:tplc="B61A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67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21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C3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3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A5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1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0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C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1"/>
    <w:rsid w:val="00014705"/>
    <w:rsid w:val="00023556"/>
    <w:rsid w:val="0003117C"/>
    <w:rsid w:val="000F1AF0"/>
    <w:rsid w:val="00127DA6"/>
    <w:rsid w:val="00143949"/>
    <w:rsid w:val="00155437"/>
    <w:rsid w:val="001658DD"/>
    <w:rsid w:val="00181811"/>
    <w:rsid w:val="001859DB"/>
    <w:rsid w:val="00225B87"/>
    <w:rsid w:val="002603E2"/>
    <w:rsid w:val="00266445"/>
    <w:rsid w:val="0026744D"/>
    <w:rsid w:val="00271F3D"/>
    <w:rsid w:val="00275D06"/>
    <w:rsid w:val="002A3544"/>
    <w:rsid w:val="002B686C"/>
    <w:rsid w:val="002D5435"/>
    <w:rsid w:val="002E3832"/>
    <w:rsid w:val="003055BF"/>
    <w:rsid w:val="003432A1"/>
    <w:rsid w:val="003606E3"/>
    <w:rsid w:val="003C51E2"/>
    <w:rsid w:val="003E0D52"/>
    <w:rsid w:val="003E6DD1"/>
    <w:rsid w:val="0041667A"/>
    <w:rsid w:val="00423192"/>
    <w:rsid w:val="00425748"/>
    <w:rsid w:val="00431F4E"/>
    <w:rsid w:val="00453E2A"/>
    <w:rsid w:val="004845A0"/>
    <w:rsid w:val="004971B7"/>
    <w:rsid w:val="004B39C7"/>
    <w:rsid w:val="004E2149"/>
    <w:rsid w:val="004F640C"/>
    <w:rsid w:val="0055537B"/>
    <w:rsid w:val="00557AFC"/>
    <w:rsid w:val="00564BCE"/>
    <w:rsid w:val="0056657F"/>
    <w:rsid w:val="0058437D"/>
    <w:rsid w:val="00585914"/>
    <w:rsid w:val="005E41E0"/>
    <w:rsid w:val="00635228"/>
    <w:rsid w:val="0063721C"/>
    <w:rsid w:val="00650ED8"/>
    <w:rsid w:val="00686876"/>
    <w:rsid w:val="006B1161"/>
    <w:rsid w:val="006C473B"/>
    <w:rsid w:val="006D076B"/>
    <w:rsid w:val="0070026A"/>
    <w:rsid w:val="0071142F"/>
    <w:rsid w:val="007A2CD1"/>
    <w:rsid w:val="007D630F"/>
    <w:rsid w:val="008022AD"/>
    <w:rsid w:val="00803B22"/>
    <w:rsid w:val="008623D7"/>
    <w:rsid w:val="0088069E"/>
    <w:rsid w:val="00885647"/>
    <w:rsid w:val="008A4B33"/>
    <w:rsid w:val="009679EC"/>
    <w:rsid w:val="00984494"/>
    <w:rsid w:val="00986B18"/>
    <w:rsid w:val="009C3BF1"/>
    <w:rsid w:val="009C7304"/>
    <w:rsid w:val="00A06C95"/>
    <w:rsid w:val="00A306E4"/>
    <w:rsid w:val="00A35538"/>
    <w:rsid w:val="00A62296"/>
    <w:rsid w:val="00A73F3C"/>
    <w:rsid w:val="00A80F8B"/>
    <w:rsid w:val="00AC4C73"/>
    <w:rsid w:val="00AD41F2"/>
    <w:rsid w:val="00AF6089"/>
    <w:rsid w:val="00B75951"/>
    <w:rsid w:val="00BA73AA"/>
    <w:rsid w:val="00C3399C"/>
    <w:rsid w:val="00C836CA"/>
    <w:rsid w:val="00CB76F8"/>
    <w:rsid w:val="00CB7863"/>
    <w:rsid w:val="00CE06E4"/>
    <w:rsid w:val="00D0333D"/>
    <w:rsid w:val="00D033AE"/>
    <w:rsid w:val="00D53CCA"/>
    <w:rsid w:val="00D84FE4"/>
    <w:rsid w:val="00D86088"/>
    <w:rsid w:val="00DB1A04"/>
    <w:rsid w:val="00DB31AB"/>
    <w:rsid w:val="00DD15FD"/>
    <w:rsid w:val="00E001CC"/>
    <w:rsid w:val="00E31038"/>
    <w:rsid w:val="00E90A4E"/>
    <w:rsid w:val="00F332BD"/>
    <w:rsid w:val="00F666C5"/>
    <w:rsid w:val="00F843E1"/>
    <w:rsid w:val="00FB6858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5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5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38"/>
  </w:style>
  <w:style w:type="paragraph" w:styleId="Footer">
    <w:name w:val="footer"/>
    <w:basedOn w:val="Normal"/>
    <w:link w:val="Foot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38"/>
  </w:style>
  <w:style w:type="character" w:styleId="Emphasis">
    <w:name w:val="Emphasis"/>
    <w:basedOn w:val="DefaultParagraphFont"/>
    <w:uiPriority w:val="20"/>
    <w:qFormat/>
    <w:rsid w:val="009844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44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C47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001CC"/>
    <w:pPr>
      <w:ind w:left="720"/>
      <w:contextualSpacing/>
    </w:pPr>
  </w:style>
  <w:style w:type="paragraph" w:customStyle="1" w:styleId="mt-translation">
    <w:name w:val="mt-translation"/>
    <w:basedOn w:val="Normal"/>
    <w:rsid w:val="0018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181811"/>
  </w:style>
  <w:style w:type="character" w:customStyle="1" w:styleId="word">
    <w:name w:val="word"/>
    <w:basedOn w:val="DefaultParagraphFont"/>
    <w:rsid w:val="0018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5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5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38"/>
  </w:style>
  <w:style w:type="paragraph" w:styleId="Footer">
    <w:name w:val="footer"/>
    <w:basedOn w:val="Normal"/>
    <w:link w:val="Foot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38"/>
  </w:style>
  <w:style w:type="character" w:styleId="Emphasis">
    <w:name w:val="Emphasis"/>
    <w:basedOn w:val="DefaultParagraphFont"/>
    <w:uiPriority w:val="20"/>
    <w:qFormat/>
    <w:rsid w:val="009844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44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C47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001CC"/>
    <w:pPr>
      <w:ind w:left="720"/>
      <w:contextualSpacing/>
    </w:pPr>
  </w:style>
  <w:style w:type="paragraph" w:customStyle="1" w:styleId="mt-translation">
    <w:name w:val="mt-translation"/>
    <w:basedOn w:val="Normal"/>
    <w:rsid w:val="0018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181811"/>
  </w:style>
  <w:style w:type="character" w:customStyle="1" w:styleId="word">
    <w:name w:val="word"/>
    <w:basedOn w:val="DefaultParagraphFont"/>
    <w:rsid w:val="0018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ltictrails.eu/fore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elotajs.lv/lv/news/item/view/11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baltictrails.e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tictrails.eu/en/coastal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2021-11-08T11:39:00Z</dcterms:created>
  <dcterms:modified xsi:type="dcterms:W3CDTF">2021-11-08T11:39:00Z</dcterms:modified>
</cp:coreProperties>
</file>